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05"/>
    <w:p>
      <w:pPr>
        <w:pStyle w:val="Heading1"/>
      </w:pPr>
      <w:r>
        <w:t xml:space="preserve">Homiletics Analysis: Psalms 105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105 is a sweeping historical recitation of God’s covenant faithfulness from Abraham through the Exodus and conquest. It opens with a sustained call to worship and witness (vv. 1–6), grounding the summons in Israel’s identity as the descendants of Abraham and Jacob — God’s chosen servants. The psalm then traces the history of the Abrahamic covenant (vv. 7–11), God’s sovereign protection of the patriarchs as they wandered among the nations (vv. 12–15), the Joseph narrative as providential preparation for preservation (vv. 16–22), Israel’s sojourn and multiplication in Egypt (vv. 23–25), the plagues as God’s systematic dismantling of Egyptian power (vv. 26–36), the Exodus itself with its remarkable provision (vv. 37–38), the wilderness journey under divine canopy and miraculous supply (vv. 39–41), and finally the land gift as the fulfillment of the sworn promise (vv. 42–45). The psalm’s organizing logic is not chronological storytelling for its own sake — it is theological argument through historical recitation: God swore an oath; God kept it; therefore worship, remember, and obey.</w:t>
      </w:r>
    </w:p>
    <w:p>
      <w:pPr>
        <w:pStyle w:val="BodyText"/>
      </w:pPr>
      <w:r>
        <w:rPr>
          <w:b/>
          <w:bCs/>
        </w:rPr>
        <w:t xml:space="preserve">This Text — Intent:</w:t>
      </w:r>
    </w:p>
    <w:p>
      <w:pPr>
        <w:pStyle w:val="BodyText"/>
      </w:pPr>
      <w:r>
        <w:t xml:space="preserve">God is seeking to produce in the reader a settled confidence in His covenant faithfulness so absolute that worship becomes the natural response and obedience becomes joyful rather than coerced. The intent is doxological and stabilizing. By rehearsing the entire sweep of redemptive history from promise to possession, the psalm aims to reorient the reader’s trust away from present circumstances and toward the God whose word has never failed across centuries of testing. The command structure of the opening (seek, make known, sing, tell, glory, rejoice, remember) is not moralizing — it is the psalm’s intent made explicit: God wants a people who are so shaped by the memory of His faithfulness that praise is their instinctive orientation and covenant obedience their glad response (v. 45).</w:t>
      </w:r>
    </w:p>
    <w:p>
      <w:r>
        <w:pict>
          <v:rect style="width:0;height:1.5pt" o:hralign="center" o:hrstd="t" o:hr="t"/>
        </w:pict>
      </w:r>
    </w:p>
    <w:p>
      <w:pPr>
        <w:pStyle w:val="FirstParagraph"/>
      </w:pPr>
      <w:r>
        <w:rPr>
          <w:b/>
          <w:bCs/>
        </w:rPr>
        <w:t xml:space="preserve">Subject Sentence:</w:t>
      </w:r>
      <w:r>
        <w:t xml:space="preserve"> </w:t>
      </w:r>
      <w:r>
        <w:t xml:space="preserve">God’s sworn covenant with Abraham reaches its fulfillment in the gift of the land — remembered, celebrated, and obeyed.</w:t>
      </w:r>
    </w:p>
    <w:p>
      <w:r>
        <w:pict>
          <v:rect style="width:0;height:1.5pt" o:hralign="center" o:hrstd="t" o:hr="t"/>
        </w:pict>
      </w:r>
    </w:p>
    <w:p>
      <w:pPr>
        <w:pStyle w:val="FirstParagraph"/>
      </w:pPr>
      <w:r>
        <w:rPr>
          <w:b/>
          <w:bCs/>
        </w:rPr>
        <w:t xml:space="preserve">Primary Claim:</w:t>
      </w:r>
      <w:r>
        <w:t xml:space="preserve"> </w:t>
      </w:r>
      <w:r>
        <w:t xml:space="preserve">The God who swore an oath to Abraham and kept it through every obstacle, betrayal, and empire that stood in the way is the same God whose people have every reason to worship with abandon and obey with joy — because His word, once spoken, cannot fail.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historical recitation — history or theology?</w:t>
      </w:r>
      <w:r>
        <w:t xml:space="preserve"> </w:t>
      </w:r>
      <w:r>
        <w:t xml:space="preserve">A surface reading might treat Psalm 105 as a history lesson or commemorative poem — a liturgical retelling of events for cultural memory. This is inadequate. The psalm is theological argument through historical form. The opening imperatives (vv. 1–6) and closing purpose clause (v. 45 —</w:t>
      </w:r>
      <w:r>
        <w:t xml:space="preserve"> </w:t>
      </w:r>
      <w:r>
        <w:t xml:space="preserve">“that they might keep His statutes and observe His laws”</w:t>
      </w:r>
      <w:r>
        <w:t xml:space="preserve">) frame the entire historical recitation as a motivation for present worship and obedience. The history is not the point — the God who acted in the history is the point, and the recitation is the argument for the claim. Reformed exposition must refuse to treat this psalm as mere historical reminiscence and insist on its status as proclamation.</w:t>
      </w:r>
    </w:p>
    <w:p>
      <w:pPr>
        <w:pStyle w:val="BodyText"/>
      </w:pPr>
      <w:r>
        <w:rPr>
          <w:b/>
          <w:bCs/>
        </w:rPr>
        <w:t xml:space="preserve">Covenant particularity vs. universal scope:</w:t>
      </w:r>
      <w:r>
        <w:t xml:space="preserve"> </w:t>
      </w:r>
      <w:r>
        <w:t xml:space="preserve">Some readings flatten the psalm’s covenant particularity in favor of a general theological message about God’s faithfulness to all people. This misreads the psalm’s deliberate emphasis on Abraham, Isaac, and Jacob, the sworn oath (vv. 9–10), and the chosen people (v. 6). The psalm is not universally addressed at the level of its primary argument — it is addressed to covenant Israel, grounding their worship in their particular election. A Reformed reading honors this particularity: the covenant is particular in its election and specific in its promise, not merely illustrative of a general principle. However — and this is the canonical development — Galatians 3:29 and Romans 4 establish that those who are in Christ are Abraham’s offspring and heirs according to promise, which means the church’s appropriation of this psalm is typologically and covenantally warranted, not eisegetical.</w:t>
      </w:r>
    </w:p>
    <w:p>
      <w:pPr>
        <w:pStyle w:val="BodyText"/>
      </w:pPr>
      <w:r>
        <w:rPr>
          <w:b/>
          <w:bCs/>
        </w:rPr>
        <w:t xml:space="preserve">The plague narrative — divine judgment or natural event?</w:t>
      </w:r>
      <w:r>
        <w:t xml:space="preserve"> </w:t>
      </w:r>
      <w:r>
        <w:t xml:space="preserve">Some traditions (and many contemporary readers) seek naturalistic explanations for the plagues or subordinate the divine agency to secondary causation. Psalm 105 will not permit this. The plagues are presented as God’s direct, purposeful acts — sent through Moses and Aaron as His servants, systematically targeting every domain of Egyptian power and life. The psalm’s recounting is deliberately supernatural in framing, and any reading that demythologizes the plagues undercuts the psalm’s entire argument: that this God acts in history with decisive power on behalf of His covenant word.</w:t>
      </w:r>
    </w:p>
    <w:p>
      <w:pPr>
        <w:pStyle w:val="BodyText"/>
      </w:pPr>
      <w:r>
        <w:rPr>
          <w:b/>
          <w:bCs/>
        </w:rPr>
        <w:t xml:space="preserve">The Joseph narrative — providence or moralism?</w:t>
      </w:r>
      <w:r>
        <w:t xml:space="preserve"> </w:t>
      </w:r>
      <w:r>
        <w:t xml:space="preserve">There is a recurring temptation to read the Joseph section (vv. 16–22) as a model of faithful endurance rewarded — a moralistic</w:t>
      </w:r>
      <w:r>
        <w:t xml:space="preserve"> </w:t>
      </w:r>
      <w:r>
        <w:t xml:space="preserve">“be like Joseph”</w:t>
      </w:r>
      <w:r>
        <w:t xml:space="preserve"> </w:t>
      </w:r>
      <w:r>
        <w:t xml:space="preserve">reading. Clowney’s anti-moralism principle applies here. The psalm does not present Joseph as a hero to emulate. It presents God as the sovereign who</w:t>
      </w:r>
      <w:r>
        <w:t xml:space="preserve"> </w:t>
      </w:r>
      <w:r>
        <w:t xml:space="preserve">“sent a man before them”</w:t>
      </w:r>
      <w:r>
        <w:t xml:space="preserve"> </w:t>
      </w:r>
      <w:r>
        <w:t xml:space="preserve">(v. 17) and who</w:t>
      </w:r>
      <w:r>
        <w:t xml:space="preserve"> </w:t>
      </w:r>
      <w:r>
        <w:t xml:space="preserve">“tested”</w:t>
      </w:r>
      <w:r>
        <w:t xml:space="preserve"> </w:t>
      </w:r>
      <w:r>
        <w:t xml:space="preserve">Joseph (v. 19) toward a providential purpose. Joseph is the instrument; God is the actor. Exposition must preserve this priority.</w:t>
      </w:r>
    </w:p>
    <w:p>
      <w:pPr>
        <w:pStyle w:val="BodyText"/>
      </w:pPr>
      <w:r>
        <w:rPr>
          <w:b/>
          <w:bCs/>
        </w:rPr>
        <w:t xml:space="preserve">Dispensational reading of the land promise:</w:t>
      </w:r>
      <w:r>
        <w:t xml:space="preserve"> </w:t>
      </w:r>
      <w:r>
        <w:t xml:space="preserve">Dispensational interpreters sometimes read the land promise of vv. 11 and 44 as requiring a future, literal, national fulfillment distinct from the church’s inheritance. This is a genuine interpretive divergence. A Reformed reading holds that the land promise is typologically and eschatologically fulfilled — pointing through Canaan to the new creation inheritance of the redeemed (Hebrews 11:14–16; Romans 4:13). The land is the down payment and type, not the terminus. This does not empty the historical promise of meaning; it reads it in light of its fuller canonical telos.</w:t>
      </w:r>
    </w:p>
    <w:p>
      <w:pPr>
        <w:pStyle w:val="BodyText"/>
      </w:pPr>
      <w:r>
        <w:rPr>
          <w:i/>
          <w:iCs/>
        </w:rPr>
        <w:t xml:space="preserve">The Reformed reading is preferred throughout because it alone accounts for the psalm’s own framing (sworn oath → historical fulfillment → obedient worship), its canonical connections to Abrahamic covenant theology, and its New Testament development without importing foreign categories or flattening its theological intentionality.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15:1–21</w:t>
      </w:r>
      <w:r>
        <w:t xml:space="preserve"> </w:t>
      </w:r>
      <w:r>
        <w:t xml:space="preserve">— The Abrahamic covenant ratified by divine oath:</w:t>
      </w:r>
      <w:r>
        <w:t xml:space="preserve"> </w:t>
      </w:r>
      <w:r>
        <w:t xml:space="preserve">“To your offspring I give this land.”</w:t>
      </w:r>
      <w:r>
        <w:t xml:space="preserve"> </w:t>
      </w:r>
      <w:r>
        <w:t xml:space="preserve">Psalm 105 is the liturgical recitation of this oath’s faithfulness across centuries. The</w:t>
      </w:r>
      <w:r>
        <w:t xml:space="preserve"> </w:t>
      </w:r>
      <w:r>
        <w:t xml:space="preserve">“everlasting covenant”</w:t>
      </w:r>
      <w:r>
        <w:t xml:space="preserve"> </w:t>
      </w:r>
      <w:r>
        <w:t xml:space="preserve">of v. 10 is Genesis 15 and 17 remembered and celebrated.</w:t>
      </w:r>
    </w:p>
    <w:p>
      <w:pPr>
        <w:numPr>
          <w:ilvl w:val="0"/>
          <w:numId w:val="1001"/>
        </w:numPr>
      </w:pPr>
      <w:r>
        <w:rPr>
          <w:b/>
          <w:bCs/>
        </w:rPr>
        <w:t xml:space="preserve">Galatians 3:15–29</w:t>
      </w:r>
      <w:r>
        <w:t xml:space="preserve"> </w:t>
      </w:r>
      <w:r>
        <w:t xml:space="preserve">— Paul grounds the believer’s inheritance in Abraham’s seed (Christ), establishing that the church is the heir of the Abrahamic promise. This is the canonical warrant for the church’s full appropriation of Psalm 105’s claim — not as outsiders borrowing Israel’s story, but as co-heirs of the same sworn oath.</w:t>
      </w:r>
    </w:p>
    <w:p>
      <w:pPr>
        <w:numPr>
          <w:ilvl w:val="0"/>
          <w:numId w:val="1001"/>
        </w:numPr>
      </w:pPr>
      <w:r>
        <w:rPr>
          <w:b/>
          <w:bCs/>
        </w:rPr>
        <w:t xml:space="preserve">Romans 8:28–30</w:t>
      </w:r>
      <w:r>
        <w:t xml:space="preserve"> </w:t>
      </w:r>
      <w:r>
        <w:t xml:space="preserve">— The logic of Psalm 105 (God’s purposes moving through every circumstance, including opposition and suffering, toward a predetermined end) is the same logic Paul unpacks in Romans 8: all things working together for good for those called according to His purpose. Joseph in the pit is the narrative instance of this principle.</w:t>
      </w:r>
    </w:p>
    <w:p>
      <w:pPr>
        <w:numPr>
          <w:ilvl w:val="0"/>
          <w:numId w:val="1001"/>
        </w:numPr>
      </w:pPr>
      <w:r>
        <w:rPr>
          <w:b/>
          <w:bCs/>
        </w:rPr>
        <w:t xml:space="preserve">Hebrews 11:8–16</w:t>
      </w:r>
      <w:r>
        <w:t xml:space="preserve"> </w:t>
      </w:r>
      <w:r>
        <w:t xml:space="preserve">— Abraham and the patriarchs</w:t>
      </w:r>
      <w:r>
        <w:t xml:space="preserve"> </w:t>
      </w:r>
      <w:r>
        <w:t xml:space="preserve">“looked forward to the city with foundations”</w:t>
      </w:r>
      <w:r>
        <w:t xml:space="preserve"> </w:t>
      </w:r>
      <w:r>
        <w:t xml:space="preserve">— indicating that the land of Canaan was always a type pointing beyond itself to a better country. This canonical development grounds the Reformed reading of the land promise without emptying it of historical significance.</w:t>
      </w:r>
    </w:p>
    <w:p>
      <w:pPr>
        <w:numPr>
          <w:ilvl w:val="0"/>
          <w:numId w:val="1001"/>
        </w:numPr>
      </w:pPr>
      <w:r>
        <w:rPr>
          <w:b/>
          <w:bCs/>
        </w:rPr>
        <w:t xml:space="preserve">Acts 7:1–53 (Stephen’s speech)</w:t>
      </w:r>
      <w:r>
        <w:t xml:space="preserve"> </w:t>
      </w:r>
      <w:r>
        <w:t xml:space="preserve">— Stephen’s rehearsal of the same historical sequence (Abraham, Joseph, Moses, the Exodus) as theological argument for the continuity of God’s redemptive purposes is the New Testament parallel to Psalm 105’s method: history as proclamation, not mere reminiscence.</w:t>
      </w:r>
    </w:p>
    <w:p>
      <w:r>
        <w:pict>
          <v:rect style="width:0;height:1.5pt" o:hralign="center" o:hrstd="t" o:hr="t"/>
        </w:pict>
      </w:r>
    </w:p>
    <w:p>
      <w:pPr>
        <w:pStyle w:val="FirstParagraph"/>
      </w:pPr>
      <w:r>
        <w:rPr>
          <w:b/>
          <w:bCs/>
        </w:rPr>
        <w:t xml:space="preserve">Aim:</w:t>
      </w:r>
      <w:r>
        <w:t xml:space="preserve"> </w:t>
      </w:r>
      <w:r>
        <w:t xml:space="preserve">To demonstrate that the God who kept His covenant oath across every obstacle of history is worthy of unreserved worship today, and that this same faithfulness is the ground and motivation for glad obedience — not duty but delight.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Opening imperatives: give thanks, call on His name, make known His deeds, sing, sing praise, tell of His wondrous works</w:t>
            </w:r>
          </w:p>
        </w:tc>
        <w:tc>
          <w:tcPr/>
          <w:p>
            <w:pPr>
              <w:pStyle w:val="Compact"/>
            </w:pPr>
            <w:r>
              <w:t xml:space="preserve">Five imperatives in two verses — worship is immediately corporate and outward-facing</w:t>
            </w:r>
          </w:p>
        </w:tc>
      </w:tr>
      <w:tr>
        <w:tc>
          <w:tcPr/>
          <w:p>
            <w:pPr>
              <w:pStyle w:val="Compact"/>
            </w:pPr>
            <w:r>
              <w:t xml:space="preserve">3</w:t>
            </w:r>
          </w:p>
        </w:tc>
        <w:tc>
          <w:tcPr/>
          <w:p>
            <w:pPr>
              <w:pStyle w:val="Compact"/>
            </w:pPr>
            <w:r>
              <w:t xml:space="preserve">Glory in His holy name; let the hearts of those who seek the LORD rejoice</w:t>
            </w:r>
          </w:p>
        </w:tc>
        <w:tc>
          <w:tcPr/>
          <w:p>
            <w:pPr>
              <w:pStyle w:val="Compact"/>
            </w:pPr>
            <w:r>
              <w:t xml:space="preserve">Identity in God’s name as source of joy — not circumstances</w:t>
            </w:r>
          </w:p>
        </w:tc>
      </w:tr>
      <w:tr>
        <w:tc>
          <w:tcPr/>
          <w:p>
            <w:pPr>
              <w:pStyle w:val="Compact"/>
            </w:pPr>
            <w:r>
              <w:t xml:space="preserve">4</w:t>
            </w:r>
          </w:p>
        </w:tc>
        <w:tc>
          <w:tcPr/>
          <w:p>
            <w:pPr>
              <w:pStyle w:val="Compact"/>
            </w:pPr>
            <w:r>
              <w:t xml:space="preserve">Seek the LORD and His strength; seek His presence continually</w:t>
            </w:r>
          </w:p>
        </w:tc>
        <w:tc>
          <w:tcPr/>
          <w:p>
            <w:pPr>
              <w:pStyle w:val="Compact"/>
            </w:pPr>
            <w:r>
              <w:t xml:space="preserve">Repeated</w:t>
            </w:r>
            <w:r>
              <w:t xml:space="preserve"> </w:t>
            </w:r>
            <w:r>
              <w:t xml:space="preserve">“seek”</w:t>
            </w:r>
            <w:r>
              <w:t xml:space="preserve"> </w:t>
            </w:r>
            <w:r>
              <w:t xml:space="preserve">— seeking is the posture of covenant people</w:t>
            </w:r>
          </w:p>
        </w:tc>
      </w:tr>
      <w:tr>
        <w:tc>
          <w:tcPr/>
          <w:p>
            <w:pPr>
              <w:pStyle w:val="Compact"/>
            </w:pPr>
            <w:r>
              <w:t xml:space="preserve">5</w:t>
            </w:r>
          </w:p>
        </w:tc>
        <w:tc>
          <w:tcPr/>
          <w:p>
            <w:pPr>
              <w:pStyle w:val="Compact"/>
            </w:pPr>
            <w:r>
              <w:t xml:space="preserve">Remember the wondrous works He has done, His miracles, and the judgments He uttered</w:t>
            </w:r>
          </w:p>
        </w:tc>
        <w:tc>
          <w:tcPr/>
          <w:p>
            <w:pPr>
              <w:pStyle w:val="Compact"/>
            </w:pPr>
            <w:r>
              <w:t xml:space="preserve">Memory as spiritual discipline — covenant identity is shaped by remembrance</w:t>
            </w:r>
          </w:p>
        </w:tc>
      </w:tr>
      <w:tr>
        <w:tc>
          <w:tcPr/>
          <w:p>
            <w:pPr>
              <w:pStyle w:val="Compact"/>
            </w:pPr>
            <w:r>
              <w:t xml:space="preserve">6</w:t>
            </w:r>
          </w:p>
        </w:tc>
        <w:tc>
          <w:tcPr/>
          <w:p>
            <w:pPr>
              <w:pStyle w:val="Compact"/>
            </w:pPr>
            <w:r>
              <w:t xml:space="preserve">Address to</w:t>
            </w:r>
            <w:r>
              <w:t xml:space="preserve"> </w:t>
            </w:r>
            <w:r>
              <w:t xml:space="preserve">“offspring of Abraham, His servant, children of Jacob, His chosen ones”</w:t>
            </w:r>
          </w:p>
        </w:tc>
        <w:tc>
          <w:tcPr/>
          <w:p>
            <w:pPr>
              <w:pStyle w:val="Compact"/>
            </w:pPr>
            <w:r>
              <w:t xml:space="preserve">Grounds the call to worship in covenant election — the audience is specific</w:t>
            </w:r>
          </w:p>
        </w:tc>
      </w:tr>
      <w:tr>
        <w:tc>
          <w:tcPr/>
          <w:p>
            <w:pPr>
              <w:pStyle w:val="Compact"/>
            </w:pPr>
            <w:r>
              <w:t xml:space="preserve">7</w:t>
            </w:r>
          </w:p>
        </w:tc>
        <w:tc>
          <w:tcPr/>
          <w:p>
            <w:pPr>
              <w:pStyle w:val="Compact"/>
            </w:pPr>
            <w:r>
              <w:t xml:space="preserve">“He is the LORD our God; His judgments are in all the earth”</w:t>
            </w:r>
          </w:p>
        </w:tc>
        <w:tc>
          <w:tcPr/>
          <w:p>
            <w:pPr>
              <w:pStyle w:val="Compact"/>
            </w:pPr>
            <w:r>
              <w:t xml:space="preserve">Theological anchor: universal sovereignty grounded in covenant relation</w:t>
            </w:r>
          </w:p>
        </w:tc>
      </w:tr>
      <w:tr>
        <w:tc>
          <w:tcPr/>
          <w:p>
            <w:pPr>
              <w:pStyle w:val="Compact"/>
            </w:pPr>
            <w:r>
              <w:t xml:space="preserve">8–9</w:t>
            </w:r>
          </w:p>
        </w:tc>
        <w:tc>
          <w:tcPr/>
          <w:p>
            <w:pPr>
              <w:pStyle w:val="Compact"/>
            </w:pPr>
            <w:r>
              <w:t xml:space="preserve">He remembers His covenant forever — the word He commanded for a thousand generations — the covenant made with Abraham, sworn to Isaac</w:t>
            </w:r>
          </w:p>
        </w:tc>
        <w:tc>
          <w:tcPr/>
          <w:p>
            <w:pPr>
              <w:pStyle w:val="Compact"/>
            </w:pPr>
            <w:r>
              <w:t xml:space="preserve">God’s memory is the foundation of His faithfulness; the oath is sworn, not merely stated</w:t>
            </w:r>
          </w:p>
        </w:tc>
      </w:tr>
      <w:tr>
        <w:tc>
          <w:tcPr/>
          <w:p>
            <w:pPr>
              <w:pStyle w:val="Compact"/>
            </w:pPr>
            <w:r>
              <w:t xml:space="preserve">10–11</w:t>
            </w:r>
          </w:p>
        </w:tc>
        <w:tc>
          <w:tcPr/>
          <w:p>
            <w:pPr>
              <w:pStyle w:val="Compact"/>
            </w:pPr>
            <w:r>
              <w:t xml:space="preserve">He confirmed it to Jacob as a statute, to Israel as an everlasting covenant:</w:t>
            </w:r>
            <w:r>
              <w:t xml:space="preserve"> </w:t>
            </w:r>
            <w:r>
              <w:t xml:space="preserve">“To you I will give the land of Canaan as your portion for an inheritance”</w:t>
            </w:r>
          </w:p>
        </w:tc>
        <w:tc>
          <w:tcPr/>
          <w:p>
            <w:pPr>
              <w:pStyle w:val="Compact"/>
            </w:pPr>
            <w:r>
              <w:t xml:space="preserve">The covenant is formally ratified through the patriarchal line; the land promise stated directly</w:t>
            </w:r>
          </w:p>
        </w:tc>
      </w:tr>
      <w:tr>
        <w:tc>
          <w:tcPr/>
          <w:p>
            <w:pPr>
              <w:pStyle w:val="Compact"/>
            </w:pPr>
            <w:r>
              <w:t xml:space="preserve">12–13</w:t>
            </w:r>
          </w:p>
        </w:tc>
        <w:tc>
          <w:tcPr/>
          <w:p>
            <w:pPr>
              <w:pStyle w:val="Compact"/>
            </w:pPr>
            <w:r>
              <w:t xml:space="preserve">“When they were few in number, of little account, and sojourners in it”</w:t>
            </w:r>
            <w:r>
              <w:t xml:space="preserve"> </w:t>
            </w:r>
            <w:r>
              <w:t xml:space="preserve">— they wandered nation to nation, kingdom to kingdom</w:t>
            </w:r>
          </w:p>
        </w:tc>
        <w:tc>
          <w:tcPr/>
          <w:p>
            <w:pPr>
              <w:pStyle w:val="Compact"/>
            </w:pPr>
            <w:r>
              <w:t xml:space="preserve">Contrast: the smallness and vulnerability of the covenant people vs. the magnitude of the promise</w:t>
            </w:r>
          </w:p>
        </w:tc>
      </w:tr>
      <w:tr>
        <w:tc>
          <w:tcPr/>
          <w:p>
            <w:pPr>
              <w:pStyle w:val="Compact"/>
            </w:pPr>
            <w:r>
              <w:t xml:space="preserve">14–15</w:t>
            </w:r>
          </w:p>
        </w:tc>
        <w:tc>
          <w:tcPr/>
          <w:p>
            <w:pPr>
              <w:pStyle w:val="Compact"/>
            </w:pPr>
            <w:r>
              <w:t xml:space="preserve">God reproved kings on their behalf;</w:t>
            </w:r>
            <w:r>
              <w:t xml:space="preserve"> </w:t>
            </w:r>
            <w:r>
              <w:t xml:space="preserve">“Touch not My anointed ones, do My prophets no harm”</w:t>
            </w:r>
          </w:p>
        </w:tc>
        <w:tc>
          <w:tcPr/>
          <w:p>
            <w:pPr>
              <w:pStyle w:val="Compact"/>
            </w:pPr>
            <w:r>
              <w:t xml:space="preserve">Divine protection of the wandering patriarchs — God guards His own even before the law is given</w:t>
            </w:r>
          </w:p>
        </w:tc>
      </w:tr>
      <w:tr>
        <w:tc>
          <w:tcPr/>
          <w:p>
            <w:pPr>
              <w:pStyle w:val="Compact"/>
            </w:pPr>
            <w:r>
              <w:t xml:space="preserve">16</w:t>
            </w:r>
          </w:p>
        </w:tc>
        <w:tc>
          <w:tcPr/>
          <w:p>
            <w:pPr>
              <w:pStyle w:val="Compact"/>
            </w:pPr>
            <w:r>
              <w:t xml:space="preserve">“When He summoned a famine over the land and broke all supply of bread”</w:t>
            </w:r>
          </w:p>
        </w:tc>
        <w:tc>
          <w:tcPr/>
          <w:p>
            <w:pPr>
              <w:pStyle w:val="Compact"/>
            </w:pPr>
            <w:r>
              <w:t xml:space="preserve">The famine is God’s act — not accident; Providence initiates the Joseph narrative</w:t>
            </w:r>
          </w:p>
        </w:tc>
      </w:tr>
      <w:tr>
        <w:tc>
          <w:tcPr/>
          <w:p>
            <w:pPr>
              <w:pStyle w:val="Compact"/>
            </w:pPr>
            <w:r>
              <w:t xml:space="preserve">17</w:t>
            </w:r>
          </w:p>
        </w:tc>
        <w:tc>
          <w:tcPr/>
          <w:p>
            <w:pPr>
              <w:pStyle w:val="Compact"/>
            </w:pPr>
            <w:r>
              <w:t xml:space="preserve">“He sent a man before them — Joseph, sold as a slave”</w:t>
            </w:r>
          </w:p>
        </w:tc>
        <w:tc>
          <w:tcPr/>
          <w:p>
            <w:pPr>
              <w:pStyle w:val="Compact"/>
            </w:pPr>
            <w:r>
              <w:t xml:space="preserve">The passive</w:t>
            </w:r>
            <w:r>
              <w:t xml:space="preserve"> </w:t>
            </w:r>
            <w:r>
              <w:t xml:space="preserve">“sold”</w:t>
            </w:r>
            <w:r>
              <w:t xml:space="preserve"> </w:t>
            </w:r>
            <w:r>
              <w:t xml:space="preserve">— Joseph’s suffering is framed within divine sending, not human cruelty</w:t>
            </w:r>
          </w:p>
        </w:tc>
      </w:tr>
      <w:tr>
        <w:tc>
          <w:tcPr/>
          <w:p>
            <w:pPr>
              <w:pStyle w:val="Compact"/>
            </w:pPr>
            <w:r>
              <w:t xml:space="preserve">18–19</w:t>
            </w:r>
          </w:p>
        </w:tc>
        <w:tc>
          <w:tcPr/>
          <w:p>
            <w:pPr>
              <w:pStyle w:val="Compact"/>
            </w:pPr>
            <w:r>
              <w:t xml:space="preserve">His feet hurt with fetters; his neck was put in a collar of iron; until what he said came to pass, the word of the LORD tested him</w:t>
            </w:r>
          </w:p>
        </w:tc>
        <w:tc>
          <w:tcPr/>
          <w:p>
            <w:pPr>
              <w:pStyle w:val="Compact"/>
            </w:pPr>
            <w:r>
              <w:t xml:space="preserve">The testing is God’s means of preparation; Joseph’s integrity under trial is secondary to God’s sovereign purpose</w:t>
            </w:r>
          </w:p>
        </w:tc>
      </w:tr>
      <w:tr>
        <w:tc>
          <w:tcPr/>
          <w:p>
            <w:pPr>
              <w:pStyle w:val="Compact"/>
            </w:pPr>
            <w:r>
              <w:t xml:space="preserve">20–22</w:t>
            </w:r>
          </w:p>
        </w:tc>
        <w:tc>
          <w:tcPr/>
          <w:p>
            <w:pPr>
              <w:pStyle w:val="Compact"/>
            </w:pPr>
            <w:r>
              <w:t xml:space="preserve">The king sent and released him; the ruler of peoples set him free; he made him lord of his house and ruler over all his possessions</w:t>
            </w:r>
          </w:p>
        </w:tc>
        <w:tc>
          <w:tcPr/>
          <w:p>
            <w:pPr>
              <w:pStyle w:val="Compact"/>
            </w:pPr>
            <w:r>
              <w:t xml:space="preserve">Joseph’s exaltation is entirely God’s doing through Pharaoh — sovereign reversal</w:t>
            </w:r>
          </w:p>
        </w:tc>
      </w:tr>
      <w:tr>
        <w:tc>
          <w:tcPr/>
          <w:p>
            <w:pPr>
              <w:pStyle w:val="Compact"/>
            </w:pPr>
            <w:r>
              <w:t xml:space="preserve">23–24</w:t>
            </w:r>
          </w:p>
        </w:tc>
        <w:tc>
          <w:tcPr/>
          <w:p>
            <w:pPr>
              <w:pStyle w:val="Compact"/>
            </w:pPr>
            <w:r>
              <w:t xml:space="preserve">Israel came to Egypt; Jacob sojourned in the land of Ham; God made His people very fruitful and stronger than their foes</w:t>
            </w:r>
          </w:p>
        </w:tc>
        <w:tc>
          <w:tcPr/>
          <w:p>
            <w:pPr>
              <w:pStyle w:val="Compact"/>
            </w:pPr>
            <w:r>
              <w:t xml:space="preserve">Multiplication in Egypt is God’s act — fulfilling the Abrahamic promise within hostile territory</w:t>
            </w:r>
          </w:p>
        </w:tc>
      </w:tr>
      <w:tr>
        <w:tc>
          <w:tcPr/>
          <w:p>
            <w:pPr>
              <w:pStyle w:val="Compact"/>
            </w:pPr>
            <w:r>
              <w:t xml:space="preserve">25</w:t>
            </w:r>
          </w:p>
        </w:tc>
        <w:tc>
          <w:tcPr/>
          <w:p>
            <w:pPr>
              <w:pStyle w:val="Compact"/>
            </w:pPr>
            <w:r>
              <w:t xml:space="preserve">“He turned their hearts to hate His people, to deal craftily with His servants”</w:t>
            </w:r>
          </w:p>
        </w:tc>
        <w:tc>
          <w:tcPr/>
          <w:p>
            <w:pPr>
              <w:pStyle w:val="Compact"/>
            </w:pPr>
            <w:r>
              <w:t xml:space="preserve">Controversial verse — God’s sovereign action even in the hardening of Egyptian hostility; not a theological problem but a theological claim</w:t>
            </w:r>
          </w:p>
        </w:tc>
      </w:tr>
      <w:tr>
        <w:tc>
          <w:tcPr/>
          <w:p>
            <w:pPr>
              <w:pStyle w:val="Compact"/>
            </w:pPr>
            <w:r>
              <w:t xml:space="preserve">26–27</w:t>
            </w:r>
          </w:p>
        </w:tc>
        <w:tc>
          <w:tcPr/>
          <w:p>
            <w:pPr>
              <w:pStyle w:val="Compact"/>
            </w:pPr>
            <w:r>
              <w:t xml:space="preserve">“He sent Moses, His servant, and Aaron, whom He had chosen; they performed His signs among them, and miracles in the land of Ham”</w:t>
            </w:r>
          </w:p>
        </w:tc>
        <w:tc>
          <w:tcPr/>
          <w:p>
            <w:pPr>
              <w:pStyle w:val="Compact"/>
            </w:pPr>
            <w:r>
              <w:t xml:space="preserve">Exodus agents are God’s chosen servants — the initiative remains entirely divine</w:t>
            </w:r>
          </w:p>
        </w:tc>
      </w:tr>
      <w:tr>
        <w:tc>
          <w:tcPr/>
          <w:p>
            <w:pPr>
              <w:pStyle w:val="Compact"/>
            </w:pPr>
            <w:r>
              <w:t xml:space="preserve">28</w:t>
            </w:r>
          </w:p>
        </w:tc>
        <w:tc>
          <w:tcPr/>
          <w:p>
            <w:pPr>
              <w:pStyle w:val="Compact"/>
            </w:pPr>
            <w:r>
              <w:t xml:space="preserve">“He sent darkness and made the earth dark; they did not rebel against His words”</w:t>
            </w:r>
          </w:p>
        </w:tc>
        <w:tc>
          <w:tcPr/>
          <w:p>
            <w:pPr>
              <w:pStyle w:val="Compact"/>
            </w:pPr>
            <w:r>
              <w:t xml:space="preserve">The plagues begin — darkness first (plague 9 placed here theologically, not chronologically); total divine control</w:t>
            </w:r>
          </w:p>
        </w:tc>
      </w:tr>
      <w:tr>
        <w:tc>
          <w:tcPr/>
          <w:p>
            <w:pPr>
              <w:pStyle w:val="Compact"/>
            </w:pPr>
            <w:r>
              <w:t xml:space="preserve">29</w:t>
            </w:r>
          </w:p>
        </w:tc>
        <w:tc>
          <w:tcPr/>
          <w:p>
            <w:pPr>
              <w:pStyle w:val="Compact"/>
            </w:pPr>
            <w:r>
              <w:t xml:space="preserve">“He turned their waters into blood and caused their fish to die”</w:t>
            </w:r>
          </w:p>
        </w:tc>
        <w:tc>
          <w:tcPr/>
          <w:p>
            <w:pPr>
              <w:pStyle w:val="Compact"/>
            </w:pPr>
            <w:r>
              <w:t xml:space="preserve">Plague 1: ecological devastation; Egyptian gods of the Nile addressed</w:t>
            </w:r>
          </w:p>
        </w:tc>
      </w:tr>
      <w:tr>
        <w:tc>
          <w:tcPr/>
          <w:p>
            <w:pPr>
              <w:pStyle w:val="Compact"/>
            </w:pPr>
            <w:r>
              <w:t xml:space="preserve">30–31</w:t>
            </w:r>
          </w:p>
        </w:tc>
        <w:tc>
          <w:tcPr/>
          <w:p>
            <w:pPr>
              <w:pStyle w:val="Compact"/>
            </w:pPr>
            <w:r>
              <w:t xml:space="preserve">Frogs, flies/swarms</w:t>
            </w:r>
          </w:p>
        </w:tc>
        <w:tc>
          <w:tcPr/>
          <w:p>
            <w:pPr>
              <w:pStyle w:val="Compact"/>
            </w:pPr>
            <w:r>
              <w:t xml:space="preserve">Plagues 2 and 4 — systematic targeting of Egyptian life</w:t>
            </w:r>
          </w:p>
        </w:tc>
      </w:tr>
      <w:tr>
        <w:tc>
          <w:tcPr/>
          <w:p>
            <w:pPr>
              <w:pStyle w:val="Compact"/>
            </w:pPr>
            <w:r>
              <w:t xml:space="preserve">32–33</w:t>
            </w:r>
          </w:p>
        </w:tc>
        <w:tc>
          <w:tcPr/>
          <w:p>
            <w:pPr>
              <w:pStyle w:val="Compact"/>
            </w:pPr>
            <w:r>
              <w:t xml:space="preserve">Hail, lightning, vines and fig trees destroyed</w:t>
            </w:r>
          </w:p>
        </w:tc>
        <w:tc>
          <w:tcPr/>
          <w:p>
            <w:pPr>
              <w:pStyle w:val="Compact"/>
            </w:pPr>
            <w:r>
              <w:t xml:space="preserve">Plagues 7 and partial 8 — agricultural devastation</w:t>
            </w:r>
          </w:p>
        </w:tc>
      </w:tr>
      <w:tr>
        <w:tc>
          <w:tcPr/>
          <w:p>
            <w:pPr>
              <w:pStyle w:val="Compact"/>
            </w:pPr>
            <w:r>
              <w:t xml:space="preserve">34–35</w:t>
            </w:r>
          </w:p>
        </w:tc>
        <w:tc>
          <w:tcPr/>
          <w:p>
            <w:pPr>
              <w:pStyle w:val="Compact"/>
            </w:pPr>
            <w:r>
              <w:t xml:space="preserve">Locusts stripped every green thing</w:t>
            </w:r>
          </w:p>
        </w:tc>
        <w:tc>
          <w:tcPr/>
          <w:p>
            <w:pPr>
              <w:pStyle w:val="Compact"/>
            </w:pPr>
            <w:r>
              <w:t xml:space="preserve">Plague 8 completed — nothing remaining</w:t>
            </w:r>
          </w:p>
        </w:tc>
      </w:tr>
      <w:tr>
        <w:tc>
          <w:tcPr/>
          <w:p>
            <w:pPr>
              <w:pStyle w:val="Compact"/>
            </w:pPr>
            <w:r>
              <w:t xml:space="preserve">36</w:t>
            </w:r>
          </w:p>
        </w:tc>
        <w:tc>
          <w:tcPr/>
          <w:p>
            <w:pPr>
              <w:pStyle w:val="Compact"/>
            </w:pPr>
            <w:r>
              <w:t xml:space="preserve">“He struck down all the firstborn in their land, the firstfruits of all their strength”</w:t>
            </w:r>
          </w:p>
        </w:tc>
        <w:tc>
          <w:tcPr/>
          <w:p>
            <w:pPr>
              <w:pStyle w:val="Compact"/>
            </w:pPr>
            <w:r>
              <w:t xml:space="preserve">Plague 10 — the climax; death of Egypt’s own</w:t>
            </w:r>
            <w:r>
              <w:t xml:space="preserve"> </w:t>
            </w:r>
            <w:r>
              <w:t xml:space="preserve">“firstborn”</w:t>
            </w:r>
            <w:r>
              <w:t xml:space="preserve"> </w:t>
            </w:r>
            <w:r>
              <w:t xml:space="preserve">as inversion of the Abrahamic promise</w:t>
            </w:r>
          </w:p>
        </w:tc>
      </w:tr>
      <w:tr>
        <w:tc>
          <w:tcPr/>
          <w:p>
            <w:pPr>
              <w:pStyle w:val="Compact"/>
            </w:pPr>
            <w:r>
              <w:t xml:space="preserve">37</w:t>
            </w:r>
          </w:p>
        </w:tc>
        <w:tc>
          <w:tcPr/>
          <w:p>
            <w:pPr>
              <w:pStyle w:val="Compact"/>
            </w:pPr>
            <w:r>
              <w:t xml:space="preserve">“He brought out Israel with silver and gold, and there was none among His tribes who stumbled”</w:t>
            </w:r>
          </w:p>
        </w:tc>
        <w:tc>
          <w:tcPr/>
          <w:p>
            <w:pPr>
              <w:pStyle w:val="Compact"/>
            </w:pPr>
            <w:r>
              <w:t xml:space="preserve">The Exodus as enrichment and completion — not merely rescue but reversal; Israel leaves wealthy and whole</w:t>
            </w:r>
          </w:p>
        </w:tc>
      </w:tr>
      <w:tr>
        <w:tc>
          <w:tcPr/>
          <w:p>
            <w:pPr>
              <w:pStyle w:val="Compact"/>
            </w:pPr>
            <w:r>
              <w:t xml:space="preserve">38</w:t>
            </w:r>
          </w:p>
        </w:tc>
        <w:tc>
          <w:tcPr/>
          <w:p>
            <w:pPr>
              <w:pStyle w:val="Compact"/>
            </w:pPr>
            <w:r>
              <w:t xml:space="preserve">“Egypt was glad when they departed, for dread of them had fallen upon it”</w:t>
            </w:r>
          </w:p>
        </w:tc>
        <w:tc>
          <w:tcPr/>
          <w:p>
            <w:pPr>
              <w:pStyle w:val="Compact"/>
            </w:pPr>
            <w:r>
              <w:t xml:space="preserve">The reversal is total — Israel’s departure is Egypt’s relief; the oppressor is now afraid</w:t>
            </w:r>
          </w:p>
        </w:tc>
      </w:tr>
      <w:tr>
        <w:tc>
          <w:tcPr/>
          <w:p>
            <w:pPr>
              <w:pStyle w:val="Compact"/>
            </w:pPr>
            <w:r>
              <w:t xml:space="preserve">39</w:t>
            </w:r>
          </w:p>
        </w:tc>
        <w:tc>
          <w:tcPr/>
          <w:p>
            <w:pPr>
              <w:pStyle w:val="Compact"/>
            </w:pPr>
            <w:r>
              <w:t xml:space="preserve">“He spread a cloud for a covering, and fire to give light by night”</w:t>
            </w:r>
          </w:p>
        </w:tc>
        <w:tc>
          <w:tcPr/>
          <w:p>
            <w:pPr>
              <w:pStyle w:val="Compact"/>
            </w:pPr>
            <w:r>
              <w:t xml:space="preserve">Wilderness provision: divine presence as cloud and fire — the tabernacle motif anticipated</w:t>
            </w:r>
          </w:p>
        </w:tc>
      </w:tr>
      <w:tr>
        <w:tc>
          <w:tcPr/>
          <w:p>
            <w:pPr>
              <w:pStyle w:val="Compact"/>
            </w:pPr>
            <w:r>
              <w:t xml:space="preserve">40</w:t>
            </w:r>
          </w:p>
        </w:tc>
        <w:tc>
          <w:tcPr/>
          <w:p>
            <w:pPr>
              <w:pStyle w:val="Compact"/>
            </w:pPr>
            <w:r>
              <w:t xml:space="preserve">“They asked, and He brought quail, and gave them bread from heaven in abundance”</w:t>
            </w:r>
          </w:p>
        </w:tc>
        <w:tc>
          <w:tcPr/>
          <w:p>
            <w:pPr>
              <w:pStyle w:val="Compact"/>
            </w:pPr>
            <w:r>
              <w:t xml:space="preserve">Manna and quail — miraculous provision in the wilderness; divine response to human need</w:t>
            </w:r>
          </w:p>
        </w:tc>
      </w:tr>
      <w:tr>
        <w:tc>
          <w:tcPr/>
          <w:p>
            <w:pPr>
              <w:pStyle w:val="Compact"/>
            </w:pPr>
            <w:r>
              <w:t xml:space="preserve">41</w:t>
            </w:r>
          </w:p>
        </w:tc>
        <w:tc>
          <w:tcPr/>
          <w:p>
            <w:pPr>
              <w:pStyle w:val="Compact"/>
            </w:pPr>
            <w:r>
              <w:t xml:space="preserve">“He opened the rock, and water gushed out; it flowed through the desert like a river”</w:t>
            </w:r>
          </w:p>
        </w:tc>
        <w:tc>
          <w:tcPr/>
          <w:p>
            <w:pPr>
              <w:pStyle w:val="Compact"/>
            </w:pPr>
            <w:r>
              <w:t xml:space="preserve">Water from the rock — the impossible made not merely possible but abundant</w:t>
            </w:r>
          </w:p>
        </w:tc>
      </w:tr>
      <w:tr>
        <w:tc>
          <w:tcPr/>
          <w:p>
            <w:pPr>
              <w:pStyle w:val="Compact"/>
            </w:pPr>
            <w:r>
              <w:t xml:space="preserve">42</w:t>
            </w:r>
          </w:p>
        </w:tc>
        <w:tc>
          <w:tcPr/>
          <w:p>
            <w:pPr>
              <w:pStyle w:val="Compact"/>
            </w:pPr>
            <w:r>
              <w:t xml:space="preserve">“For He remembered His holy promise, and Abraham, His servant”</w:t>
            </w:r>
          </w:p>
        </w:tc>
        <w:tc>
          <w:tcPr/>
          <w:p>
            <w:pPr>
              <w:pStyle w:val="Compact"/>
            </w:pPr>
            <w:r>
              <w:t xml:space="preserve">The interpretive key of the entire psalm — the driving cause of all that precedes is God’s memory of His oath</w:t>
            </w:r>
          </w:p>
        </w:tc>
      </w:tr>
      <w:tr>
        <w:tc>
          <w:tcPr/>
          <w:p>
            <w:pPr>
              <w:pStyle w:val="Compact"/>
            </w:pPr>
            <w:r>
              <w:t xml:space="preserve">43</w:t>
            </w:r>
          </w:p>
        </w:tc>
        <w:tc>
          <w:tcPr/>
          <w:p>
            <w:pPr>
              <w:pStyle w:val="Compact"/>
            </w:pPr>
            <w:r>
              <w:t xml:space="preserve">“So He brought His people out with joy, His chosen ones with singing”</w:t>
            </w:r>
          </w:p>
        </w:tc>
        <w:tc>
          <w:tcPr/>
          <w:p>
            <w:pPr>
              <w:pStyle w:val="Compact"/>
            </w:pPr>
            <w:r>
              <w:t xml:space="preserve">The Exodus is framed as a festival — God’s people leave in joy because God’s purposes are joyful</w:t>
            </w:r>
          </w:p>
        </w:tc>
      </w:tr>
      <w:tr>
        <w:tc>
          <w:tcPr/>
          <w:p>
            <w:pPr>
              <w:pStyle w:val="Compact"/>
            </w:pPr>
            <w:r>
              <w:t xml:space="preserve">44–45a</w:t>
            </w:r>
          </w:p>
        </w:tc>
        <w:tc>
          <w:tcPr/>
          <w:p>
            <w:pPr>
              <w:pStyle w:val="Compact"/>
            </w:pPr>
            <w:r>
              <w:t xml:space="preserve">“He gave them the lands of the nations…that they might possess the results of the peoples’ toil”</w:t>
            </w:r>
          </w:p>
        </w:tc>
        <w:tc>
          <w:tcPr/>
          <w:p>
            <w:pPr>
              <w:pStyle w:val="Compact"/>
            </w:pPr>
            <w:r>
              <w:t xml:space="preserve">Land gift as covenant fulfillment — the nations’ labor becomes Israel’s inheritance</w:t>
            </w:r>
          </w:p>
        </w:tc>
      </w:tr>
      <w:tr>
        <w:tc>
          <w:tcPr/>
          <w:p>
            <w:pPr>
              <w:pStyle w:val="Compact"/>
            </w:pPr>
            <w:r>
              <w:t xml:space="preserve">45b</w:t>
            </w:r>
          </w:p>
        </w:tc>
        <w:tc>
          <w:tcPr/>
          <w:p>
            <w:pPr>
              <w:pStyle w:val="Compact"/>
            </w:pPr>
            <w:r>
              <w:t xml:space="preserve">“…that they might keep His statutes and observe His laws”</w:t>
            </w:r>
          </w:p>
        </w:tc>
        <w:tc>
          <w:tcPr/>
          <w:p>
            <w:pPr>
              <w:pStyle w:val="Compact"/>
            </w:pPr>
            <w:r>
              <w:t xml:space="preserve">The purpose clause: the entire history recited so that obedience would be joyful and grounded; worship precedes ethics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Call to Worship: Remember and Declare</w:t>
            </w:r>
          </w:p>
        </w:tc>
      </w:tr>
      <w:tr>
        <w:tc>
          <w:tcPr/>
          <w:p>
            <w:pPr>
              <w:pStyle w:val="Compact"/>
            </w:pPr>
            <w:r>
              <w:t xml:space="preserve">2</w:t>
            </w:r>
          </w:p>
        </w:tc>
        <w:tc>
          <w:tcPr/>
          <w:p>
            <w:pPr>
              <w:pStyle w:val="Compact"/>
            </w:pPr>
            <w:r>
              <w:t xml:space="preserve">7–11</w:t>
            </w:r>
          </w:p>
        </w:tc>
        <w:tc>
          <w:tcPr/>
          <w:p>
            <w:pPr>
              <w:pStyle w:val="Compact"/>
            </w:pPr>
            <w:r>
              <w:t xml:space="preserve">The Covenant Established: The Sworn Oath to the Patriarchs</w:t>
            </w:r>
          </w:p>
        </w:tc>
      </w:tr>
      <w:tr>
        <w:tc>
          <w:tcPr/>
          <w:p>
            <w:pPr>
              <w:pStyle w:val="Compact"/>
            </w:pPr>
            <w:r>
              <w:t xml:space="preserve">3</w:t>
            </w:r>
          </w:p>
        </w:tc>
        <w:tc>
          <w:tcPr/>
          <w:p>
            <w:pPr>
              <w:pStyle w:val="Compact"/>
            </w:pPr>
            <w:r>
              <w:t xml:space="preserve">12–15</w:t>
            </w:r>
          </w:p>
        </w:tc>
        <w:tc>
          <w:tcPr/>
          <w:p>
            <w:pPr>
              <w:pStyle w:val="Compact"/>
            </w:pPr>
            <w:r>
              <w:t xml:space="preserve">The Covenant Preserved: God Guards His Wandering People</w:t>
            </w:r>
          </w:p>
        </w:tc>
      </w:tr>
      <w:tr>
        <w:tc>
          <w:tcPr/>
          <w:p>
            <w:pPr>
              <w:pStyle w:val="Compact"/>
            </w:pPr>
            <w:r>
              <w:t xml:space="preserve">4</w:t>
            </w:r>
          </w:p>
        </w:tc>
        <w:tc>
          <w:tcPr/>
          <w:p>
            <w:pPr>
              <w:pStyle w:val="Compact"/>
            </w:pPr>
            <w:r>
              <w:t xml:space="preserve">16–22</w:t>
            </w:r>
          </w:p>
        </w:tc>
        <w:tc>
          <w:tcPr/>
          <w:p>
            <w:pPr>
              <w:pStyle w:val="Compact"/>
            </w:pPr>
            <w:r>
              <w:t xml:space="preserve">The Covenant Advanced Through Joseph: Providence in the Pit</w:t>
            </w:r>
          </w:p>
        </w:tc>
      </w:tr>
      <w:tr>
        <w:tc>
          <w:tcPr/>
          <w:p>
            <w:pPr>
              <w:pStyle w:val="Compact"/>
            </w:pPr>
            <w:r>
              <w:t xml:space="preserve">5</w:t>
            </w:r>
          </w:p>
        </w:tc>
        <w:tc>
          <w:tcPr/>
          <w:p>
            <w:pPr>
              <w:pStyle w:val="Compact"/>
            </w:pPr>
            <w:r>
              <w:t xml:space="preserve">23–25</w:t>
            </w:r>
          </w:p>
        </w:tc>
        <w:tc>
          <w:tcPr/>
          <w:p>
            <w:pPr>
              <w:pStyle w:val="Compact"/>
            </w:pPr>
            <w:r>
              <w:t xml:space="preserve">The Covenant Sustained in Egypt: Multiplication Under Hostility</w:t>
            </w:r>
          </w:p>
        </w:tc>
      </w:tr>
      <w:tr>
        <w:tc>
          <w:tcPr/>
          <w:p>
            <w:pPr>
              <w:pStyle w:val="Compact"/>
            </w:pPr>
            <w:r>
              <w:t xml:space="preserve">6</w:t>
            </w:r>
          </w:p>
        </w:tc>
        <w:tc>
          <w:tcPr/>
          <w:p>
            <w:pPr>
              <w:pStyle w:val="Compact"/>
            </w:pPr>
            <w:r>
              <w:t xml:space="preserve">26–36</w:t>
            </w:r>
          </w:p>
        </w:tc>
        <w:tc>
          <w:tcPr/>
          <w:p>
            <w:pPr>
              <w:pStyle w:val="Compact"/>
            </w:pPr>
            <w:r>
              <w:t xml:space="preserve">The Covenant Defended: The Plagues Dismantle Egyptian Power</w:t>
            </w:r>
          </w:p>
        </w:tc>
      </w:tr>
      <w:tr>
        <w:tc>
          <w:tcPr/>
          <w:p>
            <w:pPr>
              <w:pStyle w:val="Compact"/>
            </w:pPr>
            <w:r>
              <w:t xml:space="preserve">7</w:t>
            </w:r>
          </w:p>
        </w:tc>
        <w:tc>
          <w:tcPr/>
          <w:p>
            <w:pPr>
              <w:pStyle w:val="Compact"/>
            </w:pPr>
            <w:r>
              <w:t xml:space="preserve">37–41</w:t>
            </w:r>
          </w:p>
        </w:tc>
        <w:tc>
          <w:tcPr/>
          <w:p>
            <w:pPr>
              <w:pStyle w:val="Compact"/>
            </w:pPr>
            <w:r>
              <w:t xml:space="preserve">The Covenant Executed: Exodus and Wilderness Provision</w:t>
            </w:r>
          </w:p>
        </w:tc>
      </w:tr>
      <w:tr>
        <w:tc>
          <w:tcPr/>
          <w:p>
            <w:pPr>
              <w:pStyle w:val="Compact"/>
            </w:pPr>
            <w:r>
              <w:t xml:space="preserve">8</w:t>
            </w:r>
          </w:p>
        </w:tc>
        <w:tc>
          <w:tcPr/>
          <w:p>
            <w:pPr>
              <w:pStyle w:val="Compact"/>
            </w:pPr>
            <w:r>
              <w:t xml:space="preserve">42–45</w:t>
            </w:r>
          </w:p>
        </w:tc>
        <w:tc>
          <w:tcPr/>
          <w:p>
            <w:pPr>
              <w:pStyle w:val="Compact"/>
            </w:pPr>
            <w:r>
              <w:t xml:space="preserve">The Covenant Fulfilled: Land Received, Obedience Invited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sworn covenant with Abraham reaches its fulfillment in the gift of the land — remembered, celebrated, and obeyed.</w:t>
      </w:r>
    </w:p>
    <w:p>
      <w:pPr>
        <w:pStyle w:val="BodyText"/>
      </w:pPr>
      <w:r>
        <w:rPr>
          <w:b/>
          <w:bCs/>
        </w:rPr>
        <w:t xml:space="preserve">Primary Claim:</w:t>
      </w:r>
      <w:r>
        <w:t xml:space="preserve"> </w:t>
      </w:r>
      <w:r>
        <w:t xml:space="preserve">The God who swore an oath to Abraham and kept it through every obstacle, betrayal, and empire that stood in the way is the same God whose people have every reason to worship with abandon and obey with joy — because His word, once spoken, cannot fail.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Reorder your memory before you assess your circumstances.</w:t>
      </w:r>
      <w:r>
        <w:t xml:space="preserve"> </w:t>
      </w:r>
      <w:r>
        <w:rPr>
          <w:i/>
          <w:iCs/>
        </w:rPr>
        <w:t xml:space="preserve">(Mind/belief)</w:t>
      </w:r>
      <w:r>
        <w:t xml:space="preserve"> </w:t>
      </w:r>
      <w:r>
        <w:t xml:space="preserve">Psalm 105 does not begin with present conditions — it begins with the command to remember. The Israelite reading this psalm may have been in exile, in poverty, in doubt, under occupation. The psalm’s first move is not to address those conditions directly but to reorient the reader’s memory:</w:t>
      </w:r>
      <w:r>
        <w:t xml:space="preserve"> </w:t>
      </w:r>
      <w:r>
        <w:rPr>
          <w:i/>
          <w:iCs/>
        </w:rPr>
        <w:t xml:space="preserve">this is who your God is and what He has done.</w:t>
      </w:r>
      <w:r>
        <w:t xml:space="preserve"> </w:t>
      </w:r>
      <w:r>
        <w:t xml:space="preserve">The application is concrete: when anxiety, doubt, or discouragement is the presenting condition, the first counter-move is not positive self-talk or circumstantial problem-solving — it is deliberate, sustained rehearsal of God’s specific faithfulness in your own history and in redemptive history. Keep a record. Return to it. The man who has catalogued God’s faithfulness across his life is harder to undo than the man who only knows his present trouble.</w:t>
      </w:r>
    </w:p>
    <w:p>
      <w:pPr>
        <w:pStyle w:val="BodyText"/>
      </w:pPr>
      <w:r>
        <w:rPr>
          <w:b/>
          <w:bCs/>
        </w:rPr>
        <w:t xml:space="preserve">2. Trust that what looks like abandonment is often Providence advancing.</w:t>
      </w:r>
      <w:r>
        <w:t xml:space="preserve"> </w:t>
      </w:r>
      <w:r>
        <w:rPr>
          <w:i/>
          <w:iCs/>
        </w:rPr>
        <w:t xml:space="preserve">(Affections/worship)</w:t>
      </w:r>
      <w:r>
        <w:t xml:space="preserve"> </w:t>
      </w:r>
      <w:r>
        <w:t xml:space="preserve">The psalm presents Joseph’s suffering not as the absence of God but as the instrument of God —</w:t>
      </w:r>
      <w:r>
        <w:t xml:space="preserve"> </w:t>
      </w:r>
      <w:r>
        <w:t xml:space="preserve">“He sent a man before them”</w:t>
      </w:r>
      <w:r>
        <w:t xml:space="preserve"> </w:t>
      </w:r>
      <w:r>
        <w:t xml:space="preserve">(v. 17). Joseph spent years in a pit, in slavery, and in prison. The psalm’s reader is invited to feel the weight of this and to feel its resolution: God was working. For the believer who is currently in a pit — a broken relationship, a failed career, an illness that seems to answer nothing — the psalm is not offering a tidy explanation. It is offering something more substantive: a God whose track record of sovereign purpose in suffering is long enough and verified enough to be trusted before the resolution arrives. Grieve what is genuinely grievous. But grieve as one whose God sends people into pits for purposes that pits cannot bury.</w:t>
      </w:r>
    </w:p>
    <w:p>
      <w:pPr>
        <w:pStyle w:val="BodyText"/>
      </w:pPr>
      <w:r>
        <w:rPr>
          <w:b/>
          <w:bCs/>
        </w:rPr>
        <w:t xml:space="preserve">3. Resist the idol of historical amnesia — rehearse redemptive history with your household.</w:t>
      </w:r>
      <w:r>
        <w:t xml:space="preserve"> </w:t>
      </w:r>
      <w:r>
        <w:rPr>
          <w:i/>
          <w:iCs/>
        </w:rPr>
        <w:t xml:space="preserve">(Will/behavior)</w:t>
      </w:r>
      <w:r>
        <w:t xml:space="preserve"> </w:t>
      </w:r>
      <w:r>
        <w:t xml:space="preserve">Verse 5 commands:</w:t>
      </w:r>
      <w:r>
        <w:t xml:space="preserve"> </w:t>
      </w:r>
      <w:r>
        <w:t xml:space="preserve">“Remember the wondrous works He has done.”</w:t>
      </w:r>
      <w:r>
        <w:t xml:space="preserve"> </w:t>
      </w:r>
      <w:r>
        <w:t xml:space="preserve">This is not a private inward discipline in the psalm — it is communal, liturgical, and outward-facing (make known, sing, tell, declare — vv. 1–2). The specific application is to build regular, deliberate practices of historical rehearsal into family and community life: reading the redemptive narrative aloud, telling children specific stories of God’s faithfulness rather than generic affirmations of belief, using liturgy and song that rehearse what God has done. The contemporary church has largely abandoned historical recitation in worship in favor of immediate experiential expression. Psalm 105 is a corrective: the church that does not know its story will not know its God.</w:t>
      </w:r>
    </w:p>
    <w:p>
      <w:pPr>
        <w:pStyle w:val="BodyText"/>
      </w:pPr>
      <w:r>
        <w:rPr>
          <w:b/>
          <w:bCs/>
        </w:rPr>
        <w:t xml:space="preserve">4. Let God’s faithfulness to His oath reshape your understanding of obedience.</w:t>
      </w:r>
      <w:r>
        <w:t xml:space="preserve"> </w:t>
      </w:r>
      <w:r>
        <w:rPr>
          <w:i/>
          <w:iCs/>
        </w:rPr>
        <w:t xml:space="preserve">(Mind/belief)</w:t>
      </w:r>
      <w:r>
        <w:t xml:space="preserve"> </w:t>
      </w:r>
      <w:r>
        <w:t xml:space="preserve">The psalm’s closing purpose clause (v. 45) is easily misread.</w:t>
      </w:r>
      <w:r>
        <w:t xml:space="preserve"> </w:t>
      </w:r>
      <w:r>
        <w:t xml:space="preserve">“That they might keep His statutes”</w:t>
      </w:r>
      <w:r>
        <w:t xml:space="preserve"> </w:t>
      </w:r>
      <w:r>
        <w:t xml:space="preserve">sounds like the covenant operates on a reward-for-compliance basis — God gave you the land, now you owe Him obedience. But the structure of the psalm resists this. Forty-four verses of unilateral, sovereign, oath-keeping faithfulness precede the single verse of obedience. The obedience is not the ground of the covenant — it is the response to it. The application is diagnostic: if your obedience to God feels like debt repayment or performance for acceptance, you have inverted the psalm’s order. Obedience that flows from forty-four verses of remembered faithfulness is categorically different from obedience that is trying to earn verse 44. Locate yourself in the psalm’s logic.</w:t>
      </w:r>
    </w:p>
    <w:p>
      <w:pPr>
        <w:pStyle w:val="BodyText"/>
      </w:pPr>
      <w:r>
        <w:rPr>
          <w:b/>
          <w:bCs/>
        </w:rPr>
        <w:t xml:space="preserve">5. Worship corporately as an act of witness, not merely an act of devotion.</w:t>
      </w:r>
      <w:r>
        <w:t xml:space="preserve"> </w:t>
      </w:r>
      <w:r>
        <w:rPr>
          <w:i/>
          <w:iCs/>
        </w:rPr>
        <w:t xml:space="preserve">(Affections/worship)</w:t>
      </w:r>
      <w:r>
        <w:t xml:space="preserve"> </w:t>
      </w:r>
      <w:r>
        <w:t xml:space="preserve">The psalm opens by commanding Israel to</w:t>
      </w:r>
      <w:r>
        <w:t xml:space="preserve"> </w:t>
      </w:r>
      <w:r>
        <w:t xml:space="preserve">“make known His deeds among the peoples, proclaim that His name is exalted”</w:t>
      </w:r>
      <w:r>
        <w:t xml:space="preserve"> </w:t>
      </w:r>
      <w:r>
        <w:t xml:space="preserve">(v. 1 — parallel to Isaiah 12:4). Worship in Psalm 105 has a missional dimension: the recitation of God’s faithfulness is not only for the worshiper’s encouragement but for the watching nations’ instruction. The application for gathered worship is pointed: corporate worship that is entirely inward-facing — a private experience for insiders — has misunderstood the psalm’s logic. The rehearsal of what God has done is inherently proclamatory. The congregation that sings its history with conviction is making a claim about reality that the world around it can hear. Show up. Sing loudly. Tell the story in rooms where it hasn’t been told.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105 teaches that God is a God who swears oaths and keeps them — not across a single generation but across centuries of wandering, famine, slavery, plague, and wilderness. His faithfulness is not contingent on the faithfulness of His covenant partners: the patriarchs wandered, Joseph was sold by his brothers, Israel multiplied under oppression, and through all of it, the text’s repeated refrain is that God</w:t>
      </w:r>
      <w:r>
        <w:t xml:space="preserve"> </w:t>
      </w:r>
      <w:r>
        <w:t xml:space="preserve">“remembered His holy promise”</w:t>
      </w:r>
      <w:r>
        <w:t xml:space="preserve"> </w:t>
      </w:r>
      <w:r>
        <w:t xml:space="preserve">(v. 42). This establishes divine faithfulness as the irreducible foundation of covenant theology: God’s word, once sworn, becomes the ground beneath every subsequent event. The psalm also teaches that divine sovereignty operates through ordinary (and extraordinary) historical means — famines, political appointments, plagues, legislation — without becoming less than fully divine. Providence is not the absence of divine action; it is divine action hidden in plain sight.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105 is a pillar passage for covenant theology in its Reformed expression. The unilateral structure of the Abrahamic covenant — God swears the oath alone, God keeps it alone, God fulfills it through His own sovereign action — is the Old Testament precedent for Paul’s argument in Galatians 3 and Romans 4 that justification is by faith, not works, because the covenant was sealed by divine oath before circumcision and before Sinai. The psalm’s closing purpose clause (v. 45) functions within this framework as doxological ethics: obedience is the fruit of grace, not the root of it. The Reformed doctrine of the perseverance of the saints is displayed narratively in Psalm 105 — what God has sworn, He preserves through every opposition, and His people are preserved within that purpose. The psalm also grounds the church’s right use of Israel’s history: as those who are in Christ and therefore in Abraham (Galatians 3:29), the church reads Psalm 105 not as borrowed material but as its own story — the same covenant, the same God, the same oath, now fulfilled and surpassed in the greater Exodus accomplished by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Psalm 105 swore an oath to one man in a tent and kept it through famine, slavery, plague, and wilderness for four hundred years until every word came true. That is not ancient history. That is the character of the God who is your God — the same oath-keeper, the same sovereign, the same one who will not let His word fall to the ground. You are not waiting to see whether He will be faithful. You are living inside the faithfulness He has already proven. Worship accordingly. Obey gladly.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a history lesson rather than a theological proclamation.</w:t>
      </w:r>
      <w:r>
        <w:t xml:space="preserve"> </w:t>
      </w:r>
      <w:r>
        <w:t xml:space="preserve">The most common mishandling of Psalm 105 is to preach the historical content (the plagues, the Exodus, the wilderness provision) as information about Israel’s past rather than as theological argument about the character of God addressed to the present worshiper. The psalm’s imperatives (vv. 1–6) and purpose clause (v. 45) bracket the entire historical recitation with present application — it is proclamation all the way through. Preachers who spend the bulk of the sermon in historical narration without tethering each section to the Primary Claim will produce an educated congregation that has not been moved to worship.</w:t>
      </w:r>
    </w:p>
    <w:p>
      <w:pPr>
        <w:numPr>
          <w:ilvl w:val="0"/>
          <w:numId w:val="1002"/>
        </w:numPr>
      </w:pPr>
      <w:r>
        <w:rPr>
          <w:b/>
          <w:bCs/>
        </w:rPr>
        <w:t xml:space="preserve">Moralizing the Joseph narrative.</w:t>
      </w:r>
      <w:r>
        <w:t xml:space="preserve"> </w:t>
      </w:r>
      <w:r>
        <w:t xml:space="preserve">The Joseph section (vv. 16–22) is almost irresistible as a platform for character development preaching: Joseph’s faithfulness, patience, and integrity. But the psalm does not offer this reading. God is the grammatical subject throughout these verses — He sent Joseph, He tested Joseph, He released Joseph, He made Joseph lord. The preacher who turns this section into</w:t>
      </w:r>
      <w:r>
        <w:t xml:space="preserve"> </w:t>
      </w:r>
      <w:r>
        <w:t xml:space="preserve">“be like Joseph”</w:t>
      </w:r>
      <w:r>
        <w:t xml:space="preserve"> </w:t>
      </w:r>
      <w:r>
        <w:t xml:space="preserve">has imported the Genesis narrative’s complexity into a context that deliberately strips it away in order to make a different point: sovereign purpose, not personal virtue, is the engine of the story.</w:t>
      </w:r>
    </w:p>
    <w:p>
      <w:pPr>
        <w:numPr>
          <w:ilvl w:val="0"/>
          <w:numId w:val="1002"/>
        </w:numPr>
      </w:pPr>
      <w:r>
        <w:rPr>
          <w:b/>
          <w:bCs/>
        </w:rPr>
        <w:t xml:space="preserve">Omitting verse 25 or softening God’s sovereignty over Egyptian hostility.</w:t>
      </w:r>
      <w:r>
        <w:t xml:space="preserve"> </w:t>
      </w:r>
      <w:r>
        <w:t xml:space="preserve">Verse 25 (</w:t>
      </w:r>
      <w:r>
        <w:t xml:space="preserve">“He turned their hearts to hate His people”</w:t>
      </w:r>
      <w:r>
        <w:t xml:space="preserve">) is uncomfortable for any tradition that insists on undivided human freedom as the source of sinful action. Some preachers will skip it; others will explain it away as divine permission. But the psalm does not permit this — it is a declarative statement of divine action, consistent with the psalm’s entire thesis that God is the unilateral actor in every phase of this history. The verse must be engaged, not avoided, and it belongs within a Reformed framework of divine sovereignty and human responsibility that does not require their opposition.</w:t>
      </w:r>
    </w:p>
    <w:p>
      <w:pPr>
        <w:numPr>
          <w:ilvl w:val="0"/>
          <w:numId w:val="1002"/>
        </w:numPr>
      </w:pPr>
      <w:r>
        <w:rPr>
          <w:b/>
          <w:bCs/>
        </w:rPr>
        <w:t xml:space="preserve">Applying the land promise literally without canonical development.</w:t>
      </w:r>
      <w:r>
        <w:t xml:space="preserve"> </w:t>
      </w:r>
      <w:r>
        <w:t xml:space="preserve">Preaching Psalm 105 without engaging the land promise’s typological and eschatological development (Hebrews 11, Romans 4, Galatians 3) leaves the congregation with an incomplete account of what they are heirs to. The land of Canaan is not the church’s inheritance — the new creation is. Psalm 105’s claim is fully available to the church only when it is read in its canonical completion. The preacher who stops at Canaan has stopped short of the gospel.</w:t>
      </w:r>
    </w:p>
    <w:p>
      <w:pPr>
        <w:numPr>
          <w:ilvl w:val="0"/>
          <w:numId w:val="1002"/>
        </w:numPr>
      </w:pPr>
      <w:r>
        <w:rPr>
          <w:b/>
          <w:bCs/>
        </w:rPr>
        <w:t xml:space="preserve">Disconnecting the opening imperatives from the closing purpose clause.</w:t>
      </w:r>
      <w:r>
        <w:t xml:space="preserve"> </w:t>
      </w:r>
      <w:r>
        <w:t xml:space="preserve">The psalm is structurally a bracket: it opens with commands to worship and closes with a statement of the purpose of worship (v. 45 — obedience). Preaching that treats the opening (vv. 1–6) as a worship section and the closing (v. 45) as a separate ethical conclusion misses the psalm’s argument. The entire historical recitation is the fuel for both the worship and the obedience. They are not separate sections — they are the two ends of a single bow, and the history is the string pulled taut between them.</w:t>
      </w:r>
    </w:p>
    <w:p>
      <w:pPr>
        <w:numPr>
          <w:ilvl w:val="0"/>
          <w:numId w:val="1002"/>
        </w:numPr>
      </w:pPr>
      <w:r>
        <w:rPr>
          <w:b/>
          <w:bCs/>
        </w:rPr>
        <w:t xml:space="preserve">Preaching the psalm without making the New Testament connection to Christ as the greater Moses, greater Joseph, and heir of Abraham.</w:t>
      </w:r>
      <w:r>
        <w:t xml:space="preserve"> </w:t>
      </w:r>
      <w:r>
        <w:t xml:space="preserve">The congregation needs to see that they are not merely borrowing Israel’s story — they are inside it, in Christ. The redemptive-historical fulfillment in Jesus (the greater Joseph who descended into death that His brothers might be saved; the greater Moses who led a greater Exodus; the seed of Abraham in whom all nations are blessed) is not optional material for a footnote. It is what the passage is building toward, and the sermon that does not arrive there has left the congregation with a covenant account without a Mediator.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2026-07-14T21:04:14Z</dcterms:created>
  <dcterms:modified xsi:type="dcterms:W3CDTF">2026-07-14T21:04:14Z</dcterms:modified>
</cp:coreProperties>
</file>

<file path=docProps/custom.xml><?xml version="1.0" encoding="utf-8"?>
<Properties xmlns="http://schemas.openxmlformats.org/officeDocument/2006/custom-properties" xmlns:vt="http://schemas.openxmlformats.org/officeDocument/2006/docPropsVTypes"/>
</file>